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18" w:rsidRDefault="00CE2418" w:rsidP="00CE24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30"/>
          <w:szCs w:val="30"/>
        </w:rPr>
      </w:pPr>
      <w:r>
        <w:rPr>
          <w:rStyle w:val="a4"/>
          <w:rFonts w:ascii="Arial" w:hAnsi="Arial" w:cs="Arial"/>
          <w:color w:val="444444"/>
          <w:sz w:val="30"/>
          <w:szCs w:val="30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  <w:t>1. Первинний огляд пацієнта/пацієнтки та подальше лікарське спостереження за станом життєвої важливих функцій організму.</w:t>
      </w:r>
      <w:r>
        <w:rPr>
          <w:rFonts w:ascii="Arial" w:hAnsi="Arial" w:cs="Arial"/>
          <w:color w:val="444444"/>
          <w:sz w:val="30"/>
          <w:szCs w:val="30"/>
        </w:rPr>
        <w:br/>
        <w:t xml:space="preserve">2. Контроль ефективності (адекватності)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діалізного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 лікування методами перитонеального діалізу (ПД): постійного перитонеального діалізу (ПАПД) та/або автоматизованого перитонеального діалізу (АПД), включаючи оцінку та корекцію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нутриційного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 статусу, своєчасну діагностику, профілактику та лікування інфекційних та неінфекційних ускладнень перитонеального діалізу, із направленням пацієнта/пацієнтки до лікарів-спеціалістів інших профілів.</w:t>
      </w:r>
      <w:r>
        <w:rPr>
          <w:rFonts w:ascii="Arial" w:hAnsi="Arial" w:cs="Arial"/>
          <w:color w:val="444444"/>
          <w:sz w:val="30"/>
          <w:szCs w:val="30"/>
        </w:rPr>
        <w:br/>
        <w:t>3. Перевірка ПД-освіти пацієнта/пацієнтки та, за потреби, проведення повторного навчання. Навчання родичів пацієнта/пацієнтки методикам ПАПД/АПД, у випадку коли він/вона не може самостійно проводити процедуру.</w:t>
      </w:r>
      <w:r>
        <w:rPr>
          <w:rFonts w:ascii="Arial" w:hAnsi="Arial" w:cs="Arial"/>
          <w:color w:val="444444"/>
          <w:sz w:val="30"/>
          <w:szCs w:val="30"/>
        </w:rPr>
        <w:br/>
        <w:t>4. Оцінка можливості організації процедур перитонеального діалізу пацієнтом/пацієнткою самостійно:</w:t>
      </w:r>
      <w:r>
        <w:rPr>
          <w:rFonts w:ascii="Arial" w:hAnsi="Arial" w:cs="Arial"/>
          <w:color w:val="444444"/>
          <w:sz w:val="30"/>
          <w:szCs w:val="30"/>
        </w:rPr>
        <w:br/>
        <w:t xml:space="preserve">- у випадку можливості самостійного проведення процедури ПД – надання та доставка за місцем проживання пацієнта/пацієнтки виробів медичного призначення (включаючи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циклери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 для АПД) та лікарських засобів; виконання процедури перитонеального діалізу в амбулаторних умовах у закладі охорони здоров’я (ЗОЗ) за необхідності; контроль за використанням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циклерів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 для АПД, витратних медичних матеріалів та лікарських засобів;</w:t>
      </w:r>
      <w:r>
        <w:rPr>
          <w:rFonts w:ascii="Arial" w:hAnsi="Arial" w:cs="Arial"/>
          <w:color w:val="444444"/>
          <w:sz w:val="30"/>
          <w:szCs w:val="30"/>
        </w:rPr>
        <w:br/>
        <w:t>- у випадку неможливості самостійного проведення процедури – навчання виконанню процедури перитонеального діалізу (постійного амбулаторного перитонеального діалізу чи автоматизованого перитонеального діалізу) в амбулаторних умовах родичів пацієнта/пацієнтки, а також, у разі необхідності, організація тимчасового проведення амбулаторних процедур ПД (ПАПД/АПД) в ЗОЗ;</w:t>
      </w:r>
      <w:r>
        <w:rPr>
          <w:rFonts w:ascii="Arial" w:hAnsi="Arial" w:cs="Arial"/>
          <w:color w:val="444444"/>
          <w:sz w:val="30"/>
          <w:szCs w:val="30"/>
        </w:rPr>
        <w:br/>
        <w:t xml:space="preserve">- у випадку госпіталізації пацієнта/пацієнтки до іншого ЗОЗ – забезпечення необхідними консультаціями лікаря-нефролога і контроль наявності у пацієнта/пацієнтки достатньої кількості виробів медичного призначення та лікарських засобів для проведення перитонеального діалізу, а у разі необхідності (за запитом пацієнта/пацієнтки) – доставка виробів медичного призначення (включаючи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циклери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 для АПД) та лікарських засобів до місця безпосереднього перебування пацієнта/пацієнтки.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</w:rPr>
        <w:lastRenderedPageBreak/>
        <w:t>5. Призначення лікування методом перитонеального діалізу із зазначенням типу розчину, об’єму розчину, кратності проведення обмінів, виду ПД (ПАПД або АПД).</w:t>
      </w:r>
      <w:r>
        <w:rPr>
          <w:rFonts w:ascii="Arial" w:hAnsi="Arial" w:cs="Arial"/>
          <w:color w:val="444444"/>
          <w:sz w:val="30"/>
          <w:szCs w:val="30"/>
        </w:rPr>
        <w:br/>
        <w:t>6. Проведення необхідних лабораторних досліджень відповідно до галузевих стандартів у сфері охорони здоров’я, а також за потребою або при погіршенні стану, зокрема:</w:t>
      </w:r>
      <w:r>
        <w:rPr>
          <w:rFonts w:ascii="Arial" w:hAnsi="Arial" w:cs="Arial"/>
          <w:color w:val="444444"/>
          <w:sz w:val="30"/>
          <w:szCs w:val="30"/>
        </w:rPr>
        <w:br/>
        <w:t>- розгорнутий клінічний аналіз крові;</w:t>
      </w:r>
      <w:r>
        <w:rPr>
          <w:rFonts w:ascii="Arial" w:hAnsi="Arial" w:cs="Arial"/>
          <w:color w:val="444444"/>
          <w:sz w:val="30"/>
          <w:szCs w:val="30"/>
        </w:rPr>
        <w:br/>
        <w:t>- аналіз сечі загальний;</w:t>
      </w:r>
      <w:r>
        <w:rPr>
          <w:rFonts w:ascii="Arial" w:hAnsi="Arial" w:cs="Arial"/>
          <w:color w:val="444444"/>
          <w:sz w:val="30"/>
          <w:szCs w:val="30"/>
        </w:rPr>
        <w:br/>
        <w:t xml:space="preserve">- біохімічний аналіз крові (сечовина, креатинін, загальний білок, альбумін, електроліти: натрій, калій, кальцій, фосфор, хлор), сироваткове залізо,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феритин</w:t>
      </w:r>
      <w:proofErr w:type="spellEnd"/>
      <w:r>
        <w:rPr>
          <w:rFonts w:ascii="Arial" w:hAnsi="Arial" w:cs="Arial"/>
          <w:color w:val="444444"/>
          <w:sz w:val="30"/>
          <w:szCs w:val="30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  <w:t>- глюкоза в цільній крові або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  <w:t>- ліпідний профіль (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тригліцериди</w:t>
      </w:r>
      <w:proofErr w:type="spellEnd"/>
      <w:r>
        <w:rPr>
          <w:rFonts w:ascii="Arial" w:hAnsi="Arial" w:cs="Arial"/>
          <w:color w:val="444444"/>
          <w:sz w:val="30"/>
          <w:szCs w:val="30"/>
        </w:rPr>
        <w:t>, загальний холестерин, ліпопротеїди низької щільності (ЛПНЩ), ліпопротеїди високої щільності (ЛПВЩ));</w:t>
      </w:r>
      <w:r>
        <w:rPr>
          <w:rFonts w:ascii="Arial" w:hAnsi="Arial" w:cs="Arial"/>
          <w:color w:val="444444"/>
          <w:sz w:val="30"/>
          <w:szCs w:val="30"/>
        </w:rPr>
        <w:br/>
        <w:t xml:space="preserve">- індекс еритроцитів, число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ретикулоцитів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, відсоток насичення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трансферину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 залізом, сироватковий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феритин</w:t>
      </w:r>
      <w:proofErr w:type="spellEnd"/>
      <w:r>
        <w:rPr>
          <w:rFonts w:ascii="Arial" w:hAnsi="Arial" w:cs="Arial"/>
          <w:color w:val="444444"/>
          <w:sz w:val="30"/>
          <w:szCs w:val="30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  <w:t>- контроль залишкової функції нирок (ЗФН);</w:t>
      </w:r>
      <w:r>
        <w:rPr>
          <w:rFonts w:ascii="Arial" w:hAnsi="Arial" w:cs="Arial"/>
          <w:color w:val="444444"/>
          <w:sz w:val="30"/>
          <w:szCs w:val="30"/>
        </w:rPr>
        <w:br/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Kt</w:t>
      </w:r>
      <w:proofErr w:type="spellEnd"/>
      <w:r>
        <w:rPr>
          <w:rFonts w:ascii="Arial" w:hAnsi="Arial" w:cs="Arial"/>
          <w:color w:val="444444"/>
          <w:sz w:val="30"/>
          <w:szCs w:val="30"/>
        </w:rPr>
        <w:t>/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Vurea</w:t>
      </w:r>
      <w:proofErr w:type="spellEnd"/>
      <w:r>
        <w:rPr>
          <w:rFonts w:ascii="Arial" w:hAnsi="Arial" w:cs="Arial"/>
          <w:color w:val="444444"/>
          <w:sz w:val="30"/>
          <w:szCs w:val="30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  <w:t xml:space="preserve">- тест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перитонеальноі</w:t>
      </w:r>
      <w:proofErr w:type="spellEnd"/>
      <w:r>
        <w:rPr>
          <w:rFonts w:ascii="Arial" w:hAnsi="Arial" w:cs="Arial"/>
          <w:color w:val="444444"/>
          <w:sz w:val="30"/>
          <w:szCs w:val="30"/>
        </w:rPr>
        <w:t>̈ рівноваги (PET).</w:t>
      </w:r>
      <w:r>
        <w:rPr>
          <w:rFonts w:ascii="Arial" w:hAnsi="Arial" w:cs="Arial"/>
          <w:color w:val="444444"/>
          <w:sz w:val="30"/>
          <w:szCs w:val="30"/>
        </w:rPr>
        <w:br/>
        <w:t>7. Забезпечення менеджменту перитонеального катетера, профілактики перитоніту, інфекції місця виходу катетера і тунельні інфекції:</w:t>
      </w:r>
    </w:p>
    <w:p w:rsidR="00CE2418" w:rsidRDefault="00CE2418" w:rsidP="00CE24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30"/>
          <w:szCs w:val="30"/>
        </w:rPr>
      </w:pPr>
      <w:r>
        <w:rPr>
          <w:rFonts w:ascii="Arial" w:hAnsi="Arial" w:cs="Arial"/>
          <w:color w:val="444444"/>
          <w:sz w:val="30"/>
          <w:szCs w:val="30"/>
        </w:rPr>
        <w:t>- направлення для хірургічної імплантації перитонеального катетера;</w:t>
      </w:r>
      <w:r>
        <w:rPr>
          <w:rFonts w:ascii="Arial" w:hAnsi="Arial" w:cs="Arial"/>
          <w:color w:val="444444"/>
          <w:sz w:val="30"/>
          <w:szCs w:val="30"/>
        </w:rPr>
        <w:br/>
        <w:t>- профілактика інфекційних ускладнень, пов’язаних з тривалим перебуванням перитонеального катетера у черевній порожнині пацієнта/пацієнтки;</w:t>
      </w:r>
      <w:r>
        <w:rPr>
          <w:rFonts w:ascii="Arial" w:hAnsi="Arial" w:cs="Arial"/>
          <w:color w:val="444444"/>
          <w:sz w:val="30"/>
          <w:szCs w:val="30"/>
        </w:rPr>
        <w:br/>
        <w:t xml:space="preserve">- направлення пацієнта/пацієнтки, за необхідності, до ЗОЗ при ускладненнях, пов’язаних з </w:t>
      </w:r>
      <w:proofErr w:type="spellStart"/>
      <w:r>
        <w:rPr>
          <w:rFonts w:ascii="Arial" w:hAnsi="Arial" w:cs="Arial"/>
          <w:color w:val="444444"/>
          <w:sz w:val="30"/>
          <w:szCs w:val="30"/>
        </w:rPr>
        <w:t>діалізним</w:t>
      </w:r>
      <w:proofErr w:type="spellEnd"/>
      <w:r>
        <w:rPr>
          <w:rFonts w:ascii="Arial" w:hAnsi="Arial" w:cs="Arial"/>
          <w:color w:val="444444"/>
          <w:sz w:val="30"/>
          <w:szCs w:val="30"/>
        </w:rPr>
        <w:t xml:space="preserve"> перитонітом, інфекцією місця виходу катетера і тунельною інфекцією.</w:t>
      </w:r>
      <w:r>
        <w:rPr>
          <w:rFonts w:ascii="Arial" w:hAnsi="Arial" w:cs="Arial"/>
          <w:color w:val="444444"/>
          <w:sz w:val="30"/>
          <w:szCs w:val="30"/>
        </w:rPr>
        <w:br/>
        <w:t>8. Забезпечення своєчасної діагностики анемії та проведення її медикаментозного лікування.</w:t>
      </w:r>
      <w:r>
        <w:rPr>
          <w:rFonts w:ascii="Arial" w:hAnsi="Arial" w:cs="Arial"/>
          <w:color w:val="444444"/>
          <w:sz w:val="30"/>
          <w:szCs w:val="30"/>
        </w:rPr>
        <w:br/>
        <w:t>9. Забезпечення лікарськими засобами відповідно до Національного переліку основних лікарських засобів, медичними виробами та розхідними матеріалами відповідно до галузевих стандартів у сфері охорони здоров’я.</w:t>
      </w:r>
      <w:r>
        <w:rPr>
          <w:rFonts w:ascii="Arial" w:hAnsi="Arial" w:cs="Arial"/>
          <w:color w:val="444444"/>
          <w:sz w:val="30"/>
          <w:szCs w:val="30"/>
        </w:rPr>
        <w:br/>
        <w:t>10. Надання своєчасної невідкладної медичної допомоги пацієнту/пацієнтці при виникненні у нього/неї станів, що загрожують життю, у разі проведення процедури у ЗОЗ.</w:t>
      </w:r>
      <w:r>
        <w:rPr>
          <w:rFonts w:ascii="Arial" w:hAnsi="Arial" w:cs="Arial"/>
          <w:color w:val="444444"/>
          <w:sz w:val="30"/>
          <w:szCs w:val="30"/>
        </w:rPr>
        <w:br/>
        <w:t>11. Направлення пацієнта/пацієнтки для отримання спеціалізованої медичної допомоги, інших медичних послуг.</w:t>
      </w:r>
    </w:p>
    <w:p w:rsidR="000E170C" w:rsidRDefault="000E170C"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18"/>
    <w:rsid w:val="000E170C"/>
    <w:rsid w:val="00C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5D238-2E0B-4572-9993-68A68EB2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E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2772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2023-02-14T07:48:00Z</dcterms:created>
  <dcterms:modified xsi:type="dcterms:W3CDTF">2023-02-14T07:48:00Z</dcterms:modified>
</cp:coreProperties>
</file>